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DA530" w14:textId="77777777" w:rsidR="0011502D" w:rsidRDefault="00DC31AD">
      <w:pPr>
        <w:spacing w:before="59"/>
        <w:ind w:left="2917"/>
        <w:rPr>
          <w:b/>
          <w:sz w:val="32"/>
        </w:rPr>
      </w:pPr>
      <w:r>
        <w:rPr>
          <w:b/>
          <w:sz w:val="32"/>
          <w:u w:val="thick"/>
        </w:rPr>
        <w:t>LOAN RATES AND FEES</w:t>
      </w:r>
    </w:p>
    <w:p w14:paraId="50C6EE57" w14:textId="77777777" w:rsidR="0011502D" w:rsidRDefault="00DC31AD">
      <w:pPr>
        <w:pStyle w:val="Heading2"/>
        <w:spacing w:before="189" w:line="259" w:lineRule="auto"/>
      </w:pPr>
      <w:r>
        <w:t>BELOW IS GENERAL INFORMATION REGARDING ALL RATES AND FEES THAT WILL ASSIST YOU IN MAKING YOUR LOAN DECISION. IF YOU HAVE ANY QUESTIONS, OR WOULD LIKE MORE INFORMATION, PLEASE ASK. MAKE CERTAIN THE QUESTIONS THAT YOU ASK ARE ANSWERED. MAKE CERTAIN YOU UNDERSTAND THE TERMS AND COSTS OF YOUR LOAN.</w:t>
      </w:r>
    </w:p>
    <w:p w14:paraId="7AB25984" w14:textId="77777777" w:rsidR="0011502D" w:rsidRDefault="00DC31AD">
      <w:pPr>
        <w:pStyle w:val="BodyText"/>
        <w:spacing w:before="6"/>
      </w:pPr>
      <w:r>
        <w:rPr>
          <w:noProof/>
          <w:lang w:bidi="ar-SA"/>
        </w:rPr>
        <mc:AlternateContent>
          <mc:Choice Requires="wps">
            <w:drawing>
              <wp:anchor distT="0" distB="0" distL="0" distR="0" simplePos="0" relativeHeight="251658240" behindDoc="1" locked="0" layoutInCell="1" allowOverlap="1" wp14:anchorId="636E54A4" wp14:editId="1AB1FE02">
                <wp:simplePos x="0" y="0"/>
                <wp:positionH relativeFrom="page">
                  <wp:posOffset>917575</wp:posOffset>
                </wp:positionH>
                <wp:positionV relativeFrom="paragraph">
                  <wp:posOffset>192405</wp:posOffset>
                </wp:positionV>
                <wp:extent cx="5937885" cy="210820"/>
                <wp:effectExtent l="12700" t="5080" r="12065" b="127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210820"/>
                        </a:xfrm>
                        <a:prstGeom prst="rect">
                          <a:avLst/>
                        </a:prstGeom>
                        <a:solidFill>
                          <a:srgbClr val="DADADA"/>
                        </a:solidFill>
                        <a:ln w="6096">
                          <a:solidFill>
                            <a:srgbClr val="000000"/>
                          </a:solidFill>
                          <a:prstDash val="solid"/>
                          <a:miter lim="800000"/>
                          <a:headEnd/>
                          <a:tailEnd/>
                        </a:ln>
                      </wps:spPr>
                      <wps:txbx>
                        <w:txbxContent>
                          <w:p w14:paraId="09882CC2" w14:textId="77777777" w:rsidR="0011502D" w:rsidRDefault="00DC31AD">
                            <w:pPr>
                              <w:spacing w:line="320" w:lineRule="exact"/>
                              <w:ind w:left="2222"/>
                              <w:rPr>
                                <w:b/>
                                <w:sz w:val="28"/>
                              </w:rPr>
                            </w:pPr>
                            <w:r>
                              <w:rPr>
                                <w:b/>
                                <w:sz w:val="28"/>
                              </w:rPr>
                              <w:t>ANNUAL PERCENTAGE RATE (APR)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E54A4" id="_x0000_t202" coordsize="21600,21600" o:spt="202" path="m,l,21600r21600,l21600,xe">
                <v:stroke joinstyle="miter"/>
                <v:path gradientshapeok="t" o:connecttype="rect"/>
              </v:shapetype>
              <v:shape id="Text Box 2" o:spid="_x0000_s1026" type="#_x0000_t202" style="position:absolute;margin-left:72.25pt;margin-top:15.15pt;width:467.55pt;height:16.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" fillcolor="#dadada" strokeweight=".48pt">
                <v:textbox inset="0,0,0,0">
                  <w:txbxContent>
                    <w:p w14:paraId="09882CC2" w14:textId="77777777" w:rsidR="0011502D" w:rsidRDefault="00DC31AD">
                      <w:pPr>
                        <w:spacing w:line="320" w:lineRule="exact"/>
                        <w:ind w:left="2222"/>
                        <w:rPr>
                          <w:b/>
                          <w:sz w:val="28"/>
                        </w:rPr>
                      </w:pPr>
                      <w:r>
                        <w:rPr>
                          <w:b/>
                          <w:sz w:val="28"/>
                        </w:rPr>
                        <w:t>ANNUAL PERCENTAGE RATE (APR)</w:t>
                      </w:r>
                    </w:p>
                  </w:txbxContent>
                </v:textbox>
                <w10:wrap type="topAndBottom" anchorx="page"/>
              </v:shape>
            </w:pict>
          </mc:Fallback>
        </mc:AlternateContent>
      </w:r>
    </w:p>
    <w:p w14:paraId="27211BF5" w14:textId="77777777" w:rsidR="0011502D" w:rsidRDefault="0011502D">
      <w:pPr>
        <w:pStyle w:val="BodyText"/>
        <w:spacing w:before="2"/>
        <w:rPr>
          <w:sz w:val="13"/>
        </w:rPr>
      </w:pPr>
    </w:p>
    <w:p w14:paraId="3C3A5B59" w14:textId="77777777" w:rsidR="0011502D" w:rsidRDefault="00DC31AD">
      <w:pPr>
        <w:pStyle w:val="BodyText"/>
        <w:spacing w:before="91" w:line="259" w:lineRule="auto"/>
        <w:ind w:left="100" w:right="113"/>
        <w:jc w:val="both"/>
      </w:pPr>
      <w:r>
        <w:t>The</w:t>
      </w:r>
      <w:r>
        <w:rPr>
          <w:spacing w:val="-11"/>
        </w:rPr>
        <w:t xml:space="preserve"> </w:t>
      </w:r>
      <w:r>
        <w:t>cost</w:t>
      </w:r>
      <w:r>
        <w:rPr>
          <w:spacing w:val="-12"/>
        </w:rPr>
        <w:t xml:space="preserve"> </w:t>
      </w:r>
      <w:r>
        <w:t>of</w:t>
      </w:r>
      <w:r>
        <w:rPr>
          <w:spacing w:val="-11"/>
        </w:rPr>
        <w:t xml:space="preserve"> </w:t>
      </w:r>
      <w:r>
        <w:t>your</w:t>
      </w:r>
      <w:r>
        <w:rPr>
          <w:spacing w:val="-13"/>
        </w:rPr>
        <w:t xml:space="preserve"> </w:t>
      </w:r>
      <w:r>
        <w:t>credit</w:t>
      </w:r>
      <w:r>
        <w:rPr>
          <w:spacing w:val="-13"/>
        </w:rPr>
        <w:t xml:space="preserve"> </w:t>
      </w:r>
      <w:r>
        <w:t>as</w:t>
      </w:r>
      <w:r>
        <w:rPr>
          <w:spacing w:val="-13"/>
        </w:rPr>
        <w:t xml:space="preserve"> </w:t>
      </w:r>
      <w:r>
        <w:t>a</w:t>
      </w:r>
      <w:r>
        <w:rPr>
          <w:spacing w:val="-12"/>
        </w:rPr>
        <w:t xml:space="preserve"> </w:t>
      </w:r>
      <w:r>
        <w:t>yearly</w:t>
      </w:r>
      <w:r>
        <w:rPr>
          <w:spacing w:val="-13"/>
        </w:rPr>
        <w:t xml:space="preserve"> </w:t>
      </w:r>
      <w:r>
        <w:t>rate.</w:t>
      </w:r>
      <w:r>
        <w:rPr>
          <w:spacing w:val="-13"/>
        </w:rPr>
        <w:t xml:space="preserve"> </w:t>
      </w:r>
      <w:r>
        <w:t>APR</w:t>
      </w:r>
      <w:r>
        <w:rPr>
          <w:spacing w:val="-13"/>
        </w:rPr>
        <w:t xml:space="preserve"> </w:t>
      </w:r>
      <w:r>
        <w:t>is</w:t>
      </w:r>
      <w:r>
        <w:rPr>
          <w:spacing w:val="-10"/>
        </w:rPr>
        <w:t xml:space="preserve"> </w:t>
      </w:r>
      <w:r>
        <w:t>a</w:t>
      </w:r>
      <w:r>
        <w:rPr>
          <w:spacing w:val="-14"/>
        </w:rPr>
        <w:t xml:space="preserve"> </w:t>
      </w:r>
      <w:r>
        <w:t>combination</w:t>
      </w:r>
      <w:r>
        <w:rPr>
          <w:spacing w:val="-11"/>
        </w:rPr>
        <w:t xml:space="preserve"> </w:t>
      </w:r>
      <w:r>
        <w:t>of</w:t>
      </w:r>
      <w:r>
        <w:rPr>
          <w:spacing w:val="-13"/>
        </w:rPr>
        <w:t xml:space="preserve"> </w:t>
      </w:r>
      <w:r>
        <w:t>the</w:t>
      </w:r>
      <w:r>
        <w:rPr>
          <w:spacing w:val="-13"/>
        </w:rPr>
        <w:t xml:space="preserve"> </w:t>
      </w:r>
      <w:r>
        <w:t>interest</w:t>
      </w:r>
      <w:r>
        <w:rPr>
          <w:spacing w:val="-12"/>
        </w:rPr>
        <w:t xml:space="preserve"> </w:t>
      </w:r>
      <w:r>
        <w:t>rate</w:t>
      </w:r>
      <w:r>
        <w:rPr>
          <w:spacing w:val="-14"/>
        </w:rPr>
        <w:t xml:space="preserve"> </w:t>
      </w:r>
      <w:r>
        <w:t>plus</w:t>
      </w:r>
      <w:r>
        <w:rPr>
          <w:spacing w:val="-13"/>
        </w:rPr>
        <w:t xml:space="preserve"> </w:t>
      </w:r>
      <w:r>
        <w:t>the</w:t>
      </w:r>
      <w:r>
        <w:rPr>
          <w:spacing w:val="-14"/>
        </w:rPr>
        <w:t xml:space="preserve"> </w:t>
      </w:r>
      <w:r>
        <w:t>fees</w:t>
      </w:r>
      <w:r>
        <w:rPr>
          <w:spacing w:val="-13"/>
        </w:rPr>
        <w:t xml:space="preserve"> </w:t>
      </w:r>
      <w:r>
        <w:t>charged on</w:t>
      </w:r>
      <w:r>
        <w:rPr>
          <w:spacing w:val="-11"/>
        </w:rPr>
        <w:t xml:space="preserve"> </w:t>
      </w:r>
      <w:r>
        <w:t>your</w:t>
      </w:r>
      <w:r>
        <w:rPr>
          <w:spacing w:val="-13"/>
        </w:rPr>
        <w:t xml:space="preserve"> </w:t>
      </w:r>
      <w:r>
        <w:t>loan.</w:t>
      </w:r>
      <w:r>
        <w:rPr>
          <w:spacing w:val="34"/>
        </w:rPr>
        <w:t xml:space="preserve"> </w:t>
      </w:r>
      <w:r>
        <w:t>APR</w:t>
      </w:r>
      <w:r>
        <w:rPr>
          <w:spacing w:val="-14"/>
        </w:rPr>
        <w:t xml:space="preserve"> </w:t>
      </w:r>
      <w:r>
        <w:t>is</w:t>
      </w:r>
      <w:r>
        <w:rPr>
          <w:spacing w:val="-13"/>
        </w:rPr>
        <w:t xml:space="preserve"> </w:t>
      </w:r>
      <w:r>
        <w:t>higher</w:t>
      </w:r>
      <w:r>
        <w:rPr>
          <w:spacing w:val="-13"/>
        </w:rPr>
        <w:t xml:space="preserve"> </w:t>
      </w:r>
      <w:r>
        <w:t>than</w:t>
      </w:r>
      <w:r>
        <w:rPr>
          <w:spacing w:val="-14"/>
        </w:rPr>
        <w:t xml:space="preserve"> </w:t>
      </w:r>
      <w:r>
        <w:t>the</w:t>
      </w:r>
      <w:r>
        <w:rPr>
          <w:spacing w:val="-13"/>
        </w:rPr>
        <w:t xml:space="preserve"> </w:t>
      </w:r>
      <w:r>
        <w:t>interest</w:t>
      </w:r>
      <w:r>
        <w:rPr>
          <w:spacing w:val="-12"/>
        </w:rPr>
        <w:t xml:space="preserve"> </w:t>
      </w:r>
      <w:r>
        <w:t>rate</w:t>
      </w:r>
      <w:r>
        <w:rPr>
          <w:spacing w:val="-10"/>
        </w:rPr>
        <w:t xml:space="preserve"> </w:t>
      </w:r>
      <w:r>
        <w:t>because</w:t>
      </w:r>
      <w:r>
        <w:rPr>
          <w:spacing w:val="-12"/>
        </w:rPr>
        <w:t xml:space="preserve"> </w:t>
      </w:r>
      <w:r>
        <w:t>it</w:t>
      </w:r>
      <w:r>
        <w:rPr>
          <w:spacing w:val="-10"/>
        </w:rPr>
        <w:t xml:space="preserve"> </w:t>
      </w:r>
      <w:r>
        <w:t>includes</w:t>
      </w:r>
      <w:r>
        <w:rPr>
          <w:spacing w:val="-10"/>
        </w:rPr>
        <w:t xml:space="preserve"> </w:t>
      </w:r>
      <w:r>
        <w:t>both</w:t>
      </w:r>
      <w:r>
        <w:rPr>
          <w:spacing w:val="-14"/>
        </w:rPr>
        <w:t xml:space="preserve"> </w:t>
      </w:r>
      <w:r>
        <w:t>fees</w:t>
      </w:r>
      <w:r>
        <w:rPr>
          <w:spacing w:val="-13"/>
        </w:rPr>
        <w:t xml:space="preserve"> </w:t>
      </w:r>
      <w:r>
        <w:t>and</w:t>
      </w:r>
      <w:r>
        <w:rPr>
          <w:spacing w:val="-11"/>
        </w:rPr>
        <w:t xml:space="preserve"> </w:t>
      </w:r>
      <w:r>
        <w:t>interest</w:t>
      </w:r>
      <w:r>
        <w:rPr>
          <w:spacing w:val="-12"/>
        </w:rPr>
        <w:t xml:space="preserve"> </w:t>
      </w:r>
      <w:r>
        <w:t>as</w:t>
      </w:r>
      <w:r>
        <w:rPr>
          <w:spacing w:val="-15"/>
        </w:rPr>
        <w:t xml:space="preserve"> </w:t>
      </w:r>
      <w:r>
        <w:t>finance charges.</w:t>
      </w:r>
    </w:p>
    <w:p w14:paraId="25CF3AE7" w14:textId="77777777" w:rsidR="0011502D" w:rsidRDefault="0011502D">
      <w:pPr>
        <w:pStyle w:val="BodyText"/>
        <w:spacing w:before="8"/>
        <w:rPr>
          <w:sz w:val="23"/>
        </w:rPr>
      </w:pPr>
    </w:p>
    <w:p w14:paraId="1A137408" w14:textId="77777777" w:rsidR="0011502D" w:rsidRDefault="00DC31AD">
      <w:pPr>
        <w:pStyle w:val="BodyText"/>
        <w:spacing w:line="259" w:lineRule="auto"/>
        <w:ind w:left="100" w:right="116"/>
        <w:jc w:val="both"/>
      </w:pPr>
      <w:r>
        <w:t>Your actual terms and the Annual Percentage Rate (APR) will be determined at the time your application is submitted and will be based upon your application and credit information. Not all applicants will qualify for the lowest rate.</w:t>
      </w:r>
    </w:p>
    <w:p w14:paraId="77570EA6" w14:textId="77777777" w:rsidR="0011502D" w:rsidRDefault="0011502D">
      <w:pPr>
        <w:pStyle w:val="BodyText"/>
        <w:spacing w:before="8"/>
        <w:rPr>
          <w:sz w:val="23"/>
        </w:rPr>
      </w:pPr>
    </w:p>
    <w:p w14:paraId="61D9FBE6" w14:textId="77777777" w:rsidR="0011502D" w:rsidRDefault="00DC31AD">
      <w:pPr>
        <w:pStyle w:val="BodyText"/>
        <w:spacing w:line="259" w:lineRule="auto"/>
        <w:ind w:left="100" w:right="117"/>
        <w:jc w:val="both"/>
      </w:pPr>
      <w:r>
        <w:t>Under New Mexico law, the APR for a loan in an amount of $5,000 or less made pursuant to the Small Loan Act of 1955 or the Bank Installment Loan Act of 1959 cannot exceed one hundred and seventy-five percent, effective January 1, 2018.</w:t>
      </w:r>
    </w:p>
    <w:p w14:paraId="02A1A1AA" w14:textId="77777777" w:rsidR="0011502D" w:rsidRPr="006B6F51" w:rsidRDefault="0011502D" w:rsidP="006B6F51"/>
    <w:p w14:paraId="0DC3BAF2" w14:textId="77777777" w:rsidR="0011502D" w:rsidRDefault="0011502D">
      <w:pPr>
        <w:pStyle w:val="BodyText"/>
        <w:spacing w:before="3"/>
        <w:rPr>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11502D" w14:paraId="7A5EC448" w14:textId="77777777">
        <w:trPr>
          <w:trHeight w:val="575"/>
        </w:trPr>
        <w:tc>
          <w:tcPr>
            <w:tcW w:w="9350" w:type="dxa"/>
            <w:gridSpan w:val="2"/>
            <w:shd w:val="clear" w:color="auto" w:fill="DADADA"/>
          </w:tcPr>
          <w:p w14:paraId="28E794A2" w14:textId="77777777" w:rsidR="0011502D" w:rsidRDefault="00DC31AD">
            <w:pPr>
              <w:pStyle w:val="TableParagraph"/>
              <w:spacing w:line="320" w:lineRule="exact"/>
              <w:ind w:left="2219" w:right="2209"/>
              <w:jc w:val="center"/>
              <w:rPr>
                <w:b/>
                <w:sz w:val="28"/>
              </w:rPr>
            </w:pPr>
            <w:r>
              <w:rPr>
                <w:b/>
                <w:sz w:val="28"/>
              </w:rPr>
              <w:t>FEES</w:t>
            </w:r>
          </w:p>
          <w:p w14:paraId="573DD69A" w14:textId="77777777" w:rsidR="0011502D" w:rsidRDefault="00DC31AD">
            <w:pPr>
              <w:pStyle w:val="TableParagraph"/>
              <w:spacing w:line="236" w:lineRule="exact"/>
              <w:ind w:left="2219" w:right="2210"/>
              <w:jc w:val="center"/>
              <w:rPr>
                <w:b/>
              </w:rPr>
            </w:pPr>
            <w:r>
              <w:rPr>
                <w:b/>
              </w:rPr>
              <w:t>A list of all additional fees that you may be charged.</w:t>
            </w:r>
          </w:p>
        </w:tc>
      </w:tr>
      <w:tr w:rsidR="0011502D" w:rsidRPr="006B6F51" w14:paraId="3A15F059" w14:textId="77777777">
        <w:trPr>
          <w:trHeight w:val="505"/>
        </w:trPr>
        <w:tc>
          <w:tcPr>
            <w:tcW w:w="4675" w:type="dxa"/>
          </w:tcPr>
          <w:p w14:paraId="209D0567" w14:textId="77777777" w:rsidR="0011502D" w:rsidRPr="006B6F51" w:rsidRDefault="00DC31AD" w:rsidP="006B6F51">
            <w:r w:rsidRPr="006B6F51">
              <w:t>Delinquency Fee (Late Fee)</w:t>
            </w:r>
          </w:p>
        </w:tc>
        <w:tc>
          <w:tcPr>
            <w:tcW w:w="4675" w:type="dxa"/>
          </w:tcPr>
          <w:p w14:paraId="42E51503" w14:textId="4E195AD3" w:rsidR="0011502D" w:rsidRPr="006B6F51" w:rsidRDefault="00306FA6" w:rsidP="006B6F51">
            <w:r>
              <w:t>5</w:t>
            </w:r>
            <w:r w:rsidR="00DC31AD" w:rsidRPr="006B6F51">
              <w:t>% of each installment payment with a maximum</w:t>
            </w:r>
          </w:p>
          <w:p w14:paraId="6963F0B3" w14:textId="77777777" w:rsidR="0011502D" w:rsidRPr="006B6F51" w:rsidRDefault="00DC31AD" w:rsidP="006B6F51">
            <w:r w:rsidRPr="006B6F51">
              <w:t>of $10.00.</w:t>
            </w:r>
          </w:p>
        </w:tc>
      </w:tr>
      <w:tr w:rsidR="0011502D" w:rsidRPr="006B6F51" w14:paraId="6E288DBF" w14:textId="77777777">
        <w:trPr>
          <w:trHeight w:val="506"/>
        </w:trPr>
        <w:tc>
          <w:tcPr>
            <w:tcW w:w="4675" w:type="dxa"/>
          </w:tcPr>
          <w:p w14:paraId="76B260B1" w14:textId="77777777" w:rsidR="0011502D" w:rsidRPr="006B6F51" w:rsidRDefault="00DC31AD" w:rsidP="006B6F51">
            <w:r w:rsidRPr="006B6F51">
              <w:t>One Time Processing Fee</w:t>
            </w:r>
          </w:p>
        </w:tc>
        <w:tc>
          <w:tcPr>
            <w:tcW w:w="4675" w:type="dxa"/>
          </w:tcPr>
          <w:p w14:paraId="343468C1" w14:textId="77777777" w:rsidR="0011502D" w:rsidRPr="006B6F51" w:rsidRDefault="00DC31AD" w:rsidP="006B6F51">
            <w:r w:rsidRPr="006B6F51">
              <w:t>10% of the original amount financed with a</w:t>
            </w:r>
          </w:p>
          <w:p w14:paraId="59A370BB" w14:textId="77777777" w:rsidR="0011502D" w:rsidRPr="006B6F51" w:rsidRDefault="00DC31AD" w:rsidP="006B6F51">
            <w:r w:rsidRPr="006B6F51">
              <w:t>maximum of $200.00</w:t>
            </w:r>
          </w:p>
        </w:tc>
      </w:tr>
      <w:tr w:rsidR="0011502D" w:rsidRPr="006B6F51" w14:paraId="1C7324DE" w14:textId="77777777">
        <w:trPr>
          <w:trHeight w:val="251"/>
        </w:trPr>
        <w:tc>
          <w:tcPr>
            <w:tcW w:w="4675" w:type="dxa"/>
          </w:tcPr>
          <w:p w14:paraId="24D2D418" w14:textId="254B67DF" w:rsidR="0011502D" w:rsidRPr="006B6F51" w:rsidRDefault="008F45B0" w:rsidP="006B6F51">
            <w:r w:rsidRPr="006B6F51">
              <w:t>Lien Fee (DMV)</w:t>
            </w:r>
          </w:p>
        </w:tc>
        <w:tc>
          <w:tcPr>
            <w:tcW w:w="4675" w:type="dxa"/>
          </w:tcPr>
          <w:p w14:paraId="471F725D" w14:textId="243C3C6A" w:rsidR="0011502D" w:rsidRPr="006B6F51" w:rsidRDefault="008F45B0" w:rsidP="006B6F51">
            <w:r w:rsidRPr="006B6F51">
              <w:t>$21.00 fee to add Central Loan Co. LLC as lien holder</w:t>
            </w:r>
          </w:p>
        </w:tc>
      </w:tr>
    </w:tbl>
    <w:p w14:paraId="5E6118A1" w14:textId="77777777" w:rsidR="0011502D" w:rsidRDefault="0011502D">
      <w:pPr>
        <w:pStyle w:val="BodyText"/>
        <w:spacing w:before="4"/>
        <w:rPr>
          <w:sz w:val="23"/>
        </w:rPr>
      </w:pPr>
    </w:p>
    <w:p w14:paraId="4DFACF06" w14:textId="77777777" w:rsidR="0011502D" w:rsidRDefault="00DC31AD">
      <w:pPr>
        <w:pStyle w:val="Heading1"/>
        <w:spacing w:line="259" w:lineRule="auto"/>
        <w:ind w:right="145"/>
        <w:jc w:val="center"/>
      </w:pPr>
      <w:r>
        <w:t>TO REPORT A PROBLEM OR COMPLAINT WITH THIS LENDER, YOU MAY WRITE OR CALL:</w:t>
      </w:r>
    </w:p>
    <w:p w14:paraId="7C4DF0DE" w14:textId="77777777" w:rsidR="006B6F51" w:rsidRDefault="006B6F51">
      <w:pPr>
        <w:pStyle w:val="Heading2"/>
        <w:spacing w:before="163" w:line="259" w:lineRule="auto"/>
        <w:ind w:left="2065" w:right="2082"/>
      </w:pPr>
      <w:r>
        <w:t xml:space="preserve">Manuel S. Morales </w:t>
      </w:r>
    </w:p>
    <w:p w14:paraId="0E304D07" w14:textId="77777777" w:rsidR="006B6F51" w:rsidRDefault="00DC31AD">
      <w:pPr>
        <w:pStyle w:val="Heading2"/>
        <w:spacing w:before="163" w:line="259" w:lineRule="auto"/>
        <w:ind w:left="2065" w:right="2082"/>
      </w:pPr>
      <w:r>
        <w:t xml:space="preserve"> </w:t>
      </w:r>
      <w:r w:rsidR="008F45B0">
        <w:t xml:space="preserve">General Manager                 </w:t>
      </w:r>
      <w:r>
        <w:t xml:space="preserve"> </w:t>
      </w:r>
    </w:p>
    <w:p w14:paraId="29E500A8" w14:textId="747B83A9" w:rsidR="0011502D" w:rsidRDefault="006B6F51">
      <w:pPr>
        <w:pStyle w:val="Heading2"/>
        <w:spacing w:before="163" w:line="259" w:lineRule="auto"/>
        <w:ind w:left="2065" w:right="2082"/>
      </w:pPr>
      <w:r>
        <w:t>2607 N. Main St.</w:t>
      </w:r>
      <w:r w:rsidR="008F45B0">
        <w:t xml:space="preserve"> Las Cruces, NM 88001</w:t>
      </w:r>
    </w:p>
    <w:p w14:paraId="515700F3" w14:textId="1DF6141F" w:rsidR="0011502D" w:rsidRDefault="008F45B0">
      <w:pPr>
        <w:spacing w:before="1" w:line="259" w:lineRule="auto"/>
        <w:ind w:left="2421" w:right="2445"/>
        <w:jc w:val="center"/>
        <w:rPr>
          <w:b/>
          <w:sz w:val="24"/>
        </w:rPr>
      </w:pPr>
      <w:r>
        <w:rPr>
          <w:b/>
          <w:sz w:val="24"/>
        </w:rPr>
        <w:t xml:space="preserve">(575) </w:t>
      </w:r>
      <w:r w:rsidR="006B6F51">
        <w:rPr>
          <w:b/>
          <w:sz w:val="24"/>
        </w:rPr>
        <w:t>527-1122</w:t>
      </w:r>
      <w:r w:rsidR="00DC31AD">
        <w:rPr>
          <w:b/>
          <w:sz w:val="24"/>
        </w:rPr>
        <w:t xml:space="preserve"> </w:t>
      </w:r>
      <w:r>
        <w:rPr>
          <w:b/>
          <w:sz w:val="24"/>
        </w:rPr>
        <w:t xml:space="preserve">    </w:t>
      </w:r>
      <w:r w:rsidR="006B6F51">
        <w:rPr>
          <w:b/>
          <w:sz w:val="24"/>
        </w:rPr>
        <w:t>Manuel</w:t>
      </w:r>
      <w:r>
        <w:rPr>
          <w:b/>
          <w:sz w:val="24"/>
        </w:rPr>
        <w:t>@centralloancompany.com</w:t>
      </w:r>
    </w:p>
    <w:p w14:paraId="11CC54E7" w14:textId="0DF16BCE" w:rsidR="0011502D" w:rsidRDefault="006B6F51">
      <w:pPr>
        <w:pStyle w:val="BodyText"/>
        <w:spacing w:before="4"/>
        <w:rPr>
          <w:sz w:val="23"/>
        </w:rPr>
      </w:pPr>
      <w:r>
        <w:rPr>
          <w:noProof/>
          <w:lang w:bidi="ar-SA"/>
        </w:rPr>
        <w:drawing>
          <wp:anchor distT="0" distB="0" distL="0" distR="0" simplePos="0" relativeHeight="251657216" behindDoc="0" locked="0" layoutInCell="1" allowOverlap="1" wp14:anchorId="396A51D1" wp14:editId="0DD7F1DD">
            <wp:simplePos x="0" y="0"/>
            <wp:positionH relativeFrom="page">
              <wp:posOffset>961740</wp:posOffset>
            </wp:positionH>
            <wp:positionV relativeFrom="paragraph">
              <wp:posOffset>18415</wp:posOffset>
            </wp:positionV>
            <wp:extent cx="938815" cy="87849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39443" cy="879084"/>
                    </a:xfrm>
                    <a:prstGeom prst="rect">
                      <a:avLst/>
                    </a:prstGeom>
                  </pic:spPr>
                </pic:pic>
              </a:graphicData>
            </a:graphic>
            <wp14:sizeRelH relativeFrom="margin">
              <wp14:pctWidth>0</wp14:pctWidth>
            </wp14:sizeRelH>
            <wp14:sizeRelV relativeFrom="margin">
              <wp14:pctHeight>0</wp14:pctHeight>
            </wp14:sizeRelV>
          </wp:anchor>
        </w:drawing>
      </w:r>
    </w:p>
    <w:p w14:paraId="66E1E799" w14:textId="491A385F" w:rsidR="0011502D" w:rsidRDefault="00DC31AD">
      <w:pPr>
        <w:pStyle w:val="Heading3"/>
      </w:pPr>
      <w:r>
        <w:t>This lender is licensed and regulated by the</w:t>
      </w:r>
    </w:p>
    <w:p w14:paraId="037ED5F1" w14:textId="77777777" w:rsidR="0011502D" w:rsidRDefault="00DC31AD">
      <w:pPr>
        <w:spacing w:before="21" w:line="259" w:lineRule="auto"/>
        <w:ind w:left="2260" w:right="2274"/>
        <w:rPr>
          <w:sz w:val="24"/>
        </w:rPr>
      </w:pPr>
      <w:r>
        <w:rPr>
          <w:sz w:val="24"/>
        </w:rPr>
        <w:t>New Mexico Regulation and Licensing Department, Financial Institutions Division,</w:t>
      </w:r>
    </w:p>
    <w:p w14:paraId="06FC6FD9" w14:textId="65D5B73A" w:rsidR="0011502D" w:rsidRDefault="00DC31AD" w:rsidP="006B6F51">
      <w:pPr>
        <w:spacing w:line="275" w:lineRule="exact"/>
        <w:ind w:left="2262"/>
        <w:rPr>
          <w:b/>
          <w:sz w:val="27"/>
        </w:rPr>
      </w:pPr>
      <w:r>
        <w:rPr>
          <w:sz w:val="24"/>
        </w:rPr>
        <w:t>P.O. Box 25101, 2550 Cerrillos Road, Santa Fe, New Mexico</w:t>
      </w:r>
      <w:r>
        <w:rPr>
          <w:spacing w:val="-12"/>
          <w:sz w:val="24"/>
        </w:rPr>
        <w:t xml:space="preserve"> </w:t>
      </w:r>
      <w:r>
        <w:rPr>
          <w:sz w:val="24"/>
        </w:rPr>
        <w:t>87504.</w:t>
      </w:r>
    </w:p>
    <w:p w14:paraId="1D5B97D3" w14:textId="77777777" w:rsidR="0011502D" w:rsidRDefault="00DC31AD">
      <w:pPr>
        <w:ind w:left="124" w:right="145"/>
        <w:jc w:val="center"/>
        <w:rPr>
          <w:sz w:val="24"/>
        </w:rPr>
      </w:pPr>
      <w:r>
        <w:rPr>
          <w:sz w:val="24"/>
        </w:rPr>
        <w:t>To report any unresolved problems or complaints, contact the Division by telephone</w:t>
      </w:r>
      <w:r>
        <w:rPr>
          <w:spacing w:val="-21"/>
          <w:sz w:val="24"/>
        </w:rPr>
        <w:t xml:space="preserve"> </w:t>
      </w:r>
      <w:r>
        <w:rPr>
          <w:sz w:val="24"/>
        </w:rPr>
        <w:t>at</w:t>
      </w:r>
    </w:p>
    <w:p w14:paraId="5DDC31C6" w14:textId="77777777" w:rsidR="0011502D" w:rsidRDefault="00DC31AD">
      <w:pPr>
        <w:spacing w:before="22"/>
        <w:ind w:left="923"/>
      </w:pPr>
      <w:r>
        <w:rPr>
          <w:sz w:val="24"/>
        </w:rPr>
        <w:t>(505) 476-4885 or visit the website</w:t>
      </w:r>
      <w:r>
        <w:rPr>
          <w:color w:val="0563C1"/>
          <w:sz w:val="24"/>
        </w:rPr>
        <w:t xml:space="preserve"> </w:t>
      </w:r>
      <w:hyperlink r:id="rId7">
        <w:r>
          <w:rPr>
            <w:color w:val="0563C1"/>
            <w:u w:val="single" w:color="0563C1"/>
          </w:rPr>
          <w:t>http://www.rld.state.nm.us/financialinstitutions/.</w:t>
        </w:r>
      </w:hyperlink>
    </w:p>
    <w:sectPr w:rsidR="0011502D">
      <w:headerReference w:type="even" r:id="rId8"/>
      <w:headerReference w:type="default" r:id="rId9"/>
      <w:footerReference w:type="even" r:id="rId10"/>
      <w:footerReference w:type="default" r:id="rId11"/>
      <w:headerReference w:type="first" r:id="rId12"/>
      <w:footerReference w:type="first" r:id="rId13"/>
      <w:type w:val="continuous"/>
      <w:pgSz w:w="12240" w:h="15840"/>
      <w:pgMar w:top="13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16F79" w14:textId="77777777" w:rsidR="007C490E" w:rsidRDefault="007C490E" w:rsidP="006B6F51">
      <w:r>
        <w:separator/>
      </w:r>
    </w:p>
  </w:endnote>
  <w:endnote w:type="continuationSeparator" w:id="0">
    <w:p w14:paraId="3B6FF3C7" w14:textId="77777777" w:rsidR="007C490E" w:rsidRDefault="007C490E" w:rsidP="006B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55F3" w14:textId="77777777" w:rsidR="004F3B18" w:rsidRDefault="004F3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3EAB" w14:textId="49A9159C" w:rsidR="006B6F51" w:rsidRDefault="006B6F51">
    <w:pPr>
      <w:pStyle w:val="Footer"/>
    </w:pPr>
    <w:r>
      <w:tab/>
    </w:r>
    <w:r>
      <w:tab/>
      <w:t xml:space="preserve">Revised </w:t>
    </w:r>
    <w:r w:rsidR="004F3B18">
      <w:t>04/01/2023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8CF2" w14:textId="77777777" w:rsidR="004F3B18" w:rsidRDefault="004F3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BADB9" w14:textId="77777777" w:rsidR="007C490E" w:rsidRDefault="007C490E" w:rsidP="006B6F51">
      <w:r>
        <w:separator/>
      </w:r>
    </w:p>
  </w:footnote>
  <w:footnote w:type="continuationSeparator" w:id="0">
    <w:p w14:paraId="755ED933" w14:textId="77777777" w:rsidR="007C490E" w:rsidRDefault="007C490E" w:rsidP="006B6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9E32" w14:textId="77777777" w:rsidR="004F3B18" w:rsidRDefault="004F3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2A95" w14:textId="77777777" w:rsidR="004F3B18" w:rsidRDefault="004F3B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3E02" w14:textId="77777777" w:rsidR="004F3B18" w:rsidRDefault="004F3B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2D"/>
    <w:rsid w:val="0011502D"/>
    <w:rsid w:val="001D7308"/>
    <w:rsid w:val="00306FA6"/>
    <w:rsid w:val="00384934"/>
    <w:rsid w:val="004F3B18"/>
    <w:rsid w:val="006100B5"/>
    <w:rsid w:val="006B6F51"/>
    <w:rsid w:val="007C490E"/>
    <w:rsid w:val="008F45B0"/>
    <w:rsid w:val="00A45D53"/>
    <w:rsid w:val="00B45B67"/>
    <w:rsid w:val="00C51646"/>
    <w:rsid w:val="00DC31AD"/>
    <w:rsid w:val="00F43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7B45"/>
  <w15:docId w15:val="{EFACF219-7E05-434C-8A93-8B34D86F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8"/>
      <w:outlineLvl w:val="0"/>
    </w:pPr>
    <w:rPr>
      <w:b/>
      <w:bCs/>
      <w:sz w:val="28"/>
      <w:szCs w:val="28"/>
    </w:rPr>
  </w:style>
  <w:style w:type="paragraph" w:styleId="Heading2">
    <w:name w:val="heading 2"/>
    <w:basedOn w:val="Normal"/>
    <w:uiPriority w:val="1"/>
    <w:qFormat/>
    <w:pPr>
      <w:spacing w:before="1"/>
      <w:ind w:left="124" w:right="145"/>
      <w:jc w:val="center"/>
      <w:outlineLvl w:val="1"/>
    </w:pPr>
    <w:rPr>
      <w:b/>
      <w:bCs/>
      <w:sz w:val="24"/>
      <w:szCs w:val="24"/>
    </w:rPr>
  </w:style>
  <w:style w:type="paragraph" w:styleId="Heading3">
    <w:name w:val="heading 3"/>
    <w:basedOn w:val="Normal"/>
    <w:uiPriority w:val="1"/>
    <w:qFormat/>
    <w:pPr>
      <w:ind w:left="226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8F45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5B0"/>
    <w:rPr>
      <w:rFonts w:ascii="Segoe UI" w:eastAsia="Times New Roman" w:hAnsi="Segoe UI" w:cs="Segoe UI"/>
      <w:sz w:val="18"/>
      <w:szCs w:val="18"/>
      <w:lang w:bidi="en-US"/>
    </w:rPr>
  </w:style>
  <w:style w:type="paragraph" w:styleId="Header">
    <w:name w:val="header"/>
    <w:basedOn w:val="Normal"/>
    <w:link w:val="HeaderChar"/>
    <w:uiPriority w:val="99"/>
    <w:unhideWhenUsed/>
    <w:rsid w:val="006B6F51"/>
    <w:pPr>
      <w:tabs>
        <w:tab w:val="center" w:pos="4680"/>
        <w:tab w:val="right" w:pos="9360"/>
      </w:tabs>
    </w:pPr>
  </w:style>
  <w:style w:type="character" w:customStyle="1" w:styleId="HeaderChar">
    <w:name w:val="Header Char"/>
    <w:basedOn w:val="DefaultParagraphFont"/>
    <w:link w:val="Header"/>
    <w:uiPriority w:val="99"/>
    <w:rsid w:val="006B6F51"/>
    <w:rPr>
      <w:rFonts w:ascii="Times New Roman" w:eastAsia="Times New Roman" w:hAnsi="Times New Roman" w:cs="Times New Roman"/>
      <w:lang w:bidi="en-US"/>
    </w:rPr>
  </w:style>
  <w:style w:type="paragraph" w:styleId="Footer">
    <w:name w:val="footer"/>
    <w:basedOn w:val="Normal"/>
    <w:link w:val="FooterChar"/>
    <w:uiPriority w:val="99"/>
    <w:unhideWhenUsed/>
    <w:rsid w:val="006B6F51"/>
    <w:pPr>
      <w:tabs>
        <w:tab w:val="center" w:pos="4680"/>
        <w:tab w:val="right" w:pos="9360"/>
      </w:tabs>
    </w:pPr>
  </w:style>
  <w:style w:type="character" w:customStyle="1" w:styleId="FooterChar">
    <w:name w:val="Footer Char"/>
    <w:basedOn w:val="DefaultParagraphFont"/>
    <w:link w:val="Footer"/>
    <w:uiPriority w:val="99"/>
    <w:rsid w:val="006B6F51"/>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rld.state.nm.us/financialinstitution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Mora</dc:creator>
  <cp:lastModifiedBy>Manuel Morales</cp:lastModifiedBy>
  <cp:revision>2</cp:revision>
  <cp:lastPrinted>2024-01-09T17:20:00Z</cp:lastPrinted>
  <dcterms:created xsi:type="dcterms:W3CDTF">2024-01-09T17:22:00Z</dcterms:created>
  <dcterms:modified xsi:type="dcterms:W3CDTF">2024-01-09T17:22:00Z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2018-08-20T00:00:00Z</vt:filetime>
  </property>
  <property fmtid="{D5CDD505-2E9C-101B-9397-08002B2CF9AE}" pid="3" name="Creator">
    <vt:lpwstr>Acrobat PDFMaker 11 for Word</vt:lpwstr>
  </property>
  <property fmtid="{D5CDD505-2E9C-101B-9397-08002B2CF9AE}" pid="4" name="LastSaved">
    <vt:filetime>2018-10-16T00:00:00Z</vt:filetime>
  </property>
</Properties>
</file>